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河北省教育厅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关于推荐20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年国内访问学者人选的通知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各市教育局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省属各高校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eastAsia="zh-CN"/>
        </w:rPr>
        <w:t>、民办高校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按照教育部教师工作司《关于做好20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年中西部高等学校青年骨干教师国内访问学者选派工作的通知》（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教师司函〔20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号）要求，为做好我省高等学校青年骨干教师国内访问学者选派工作，现将有关事项通知如下：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right="0" w:rightChars="0"/>
        <w:textAlignment w:val="auto"/>
        <w:outlineLvl w:val="9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推荐名额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每校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推荐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名人选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二、选派条件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政治素质过硬、师德师风高尚、热爱教育事业的在职教师，从事教学科研工作5年以上，具有较强的自我发展需求、较好的教育教学能力和科学研究能力，且符合以下条件之一：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1. 已列入重点培养计划的学术带头人后备人才或青年骨干教师（年龄不超过40周岁）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2. 具有副高及以上专业技术职务（年龄一般不超过40周岁）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3. 具备研究生导师资格（年龄不超过45周岁）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right="0" w:rightChars="0"/>
        <w:textAlignment w:val="auto"/>
        <w:outlineLvl w:val="9"/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报送时间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请各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高校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于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日前将《中西部高等学校青年骨干教师国内访问学者推荐人选一览表》（Excel格式电子版和纸质版1份）和《中西部高等学校青年骨干教师国内访问学者推荐表》（word格式电子版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纸质版2份）报送教育厅人事处827房间。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right="0" w:rightChars="0"/>
        <w:textAlignment w:val="auto"/>
        <w:outlineLvl w:val="9"/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高校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要把访学项目作为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加强高素质创新型教师队伍建设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的重要举措，有计划、分批次选派本校符合条件的教师参加访学活动,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支持青年教师不断提升专业能力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。为提高录取率，各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高校要提醒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申请者与导师事先进行沟通，征得导师同意后再填写和报送有关表格，避免出现名额浪费现象。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联系电话：0311-66005053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电子邮箱：hbsjytrsc@126.com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邮寄地址：石家庄市桥西区中山西路449号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0" w:firstLineChars="1500"/>
        <w:textAlignment w:val="auto"/>
        <w:outlineLvl w:val="9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0" w:firstLineChars="1500"/>
        <w:textAlignment w:val="auto"/>
        <w:outlineLvl w:val="9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河北省教育厅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640" w:firstLineChars="1450"/>
        <w:textAlignment w:val="auto"/>
        <w:outlineLvl w:val="9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月26日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13075"/>
    <w:rsid w:val="0BD13075"/>
    <w:rsid w:val="0CE83C6E"/>
    <w:rsid w:val="12874942"/>
    <w:rsid w:val="394B7196"/>
    <w:rsid w:val="45845750"/>
    <w:rsid w:val="517055AE"/>
    <w:rsid w:val="5BE34CBA"/>
    <w:rsid w:val="7B9824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2020-04-26T01:02:00Z</dcterms:created>
  <dc:creator>雷彦广</dc:creator>
  <cp:lastModifiedBy>雷彦广</cp:lastModifiedBy>
  <dcterms:modified xsi:type="dcterms:W3CDTF">2020-04-30T00:57:17Z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